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-76198</wp:posOffset>
            </wp:positionH>
            <wp:positionV relativeFrom="paragraph">
              <wp:posOffset>0</wp:posOffset>
            </wp:positionV>
            <wp:extent cx="1770788" cy="701471"/>
            <wp:effectExtent b="0" l="0" r="0" t="0"/>
            <wp:wrapSquare wrapText="bothSides" distB="0" distT="0" distL="114300" distR="114300"/>
            <wp:docPr descr="Wellbeing Solutions" id="6" name="image1.png"/>
            <a:graphic>
              <a:graphicData uri="http://schemas.openxmlformats.org/drawingml/2006/picture">
                <pic:pic>
                  <pic:nvPicPr>
                    <pic:cNvPr descr="Wellbeing Solution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0788" cy="7014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34353a" w:space="0" w:sz="0" w:val="none"/>
          <w:left w:color="34353a" w:space="0" w:sz="0" w:val="none"/>
          <w:bottom w:color="34353a" w:space="0" w:sz="0" w:val="none"/>
          <w:right w:color="34353a" w:space="0" w:sz="0" w:val="none"/>
          <w:between w:color="34353a" w:space="0" w:sz="0" w:val="none"/>
        </w:pBdr>
        <w:shd w:fill="ffffff" w:val="clear"/>
        <w:spacing w:after="0" w:before="0" w:line="288" w:lineRule="auto"/>
        <w:rPr>
          <w:rFonts w:ascii="Open Sans" w:cs="Open Sans" w:eastAsia="Open Sans" w:hAnsi="Open Sans"/>
          <w:color w:val="34353a"/>
          <w:sz w:val="22"/>
          <w:szCs w:val="22"/>
        </w:rPr>
      </w:pPr>
      <w:bookmarkStart w:colFirst="0" w:colLast="0" w:name="_heading=h.t9zrrlukkrku" w:id="0"/>
      <w:bookmarkEnd w:id="0"/>
      <w:r w:rsidDel="00000000" w:rsidR="00000000" w:rsidRPr="00000000">
        <w:rPr>
          <w:rFonts w:ascii="Open Sans" w:cs="Open Sans" w:eastAsia="Open Sans" w:hAnsi="Open Sans"/>
          <w:color w:val="34353a"/>
          <w:sz w:val="22"/>
          <w:szCs w:val="22"/>
          <w:rtl w:val="0"/>
        </w:rPr>
        <w:t xml:space="preserve">ENFERMERO/A REA H. PRIVADO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rPr>
          <w:rFonts w:ascii="Open Sans" w:cs="Open Sans" w:eastAsia="Open Sans" w:hAnsi="Open Sans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En Wellbeing Solutions, selecciona para un importante hospital privado en Barcelona a un/a </w:t>
      </w:r>
      <w:r w:rsidDel="00000000" w:rsidR="00000000" w:rsidRPr="00000000">
        <w:rPr>
          <w:rFonts w:ascii="Open Sans" w:cs="Open Sans" w:eastAsia="Open Sans" w:hAnsi="Open Sans"/>
          <w:b w:val="1"/>
          <w:color w:val="252525"/>
          <w:sz w:val="24"/>
          <w:szCs w:val="24"/>
          <w:rtl w:val="0"/>
        </w:rPr>
        <w:t xml:space="preserve">enfermero/a </w:t>
      </w: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para el área de reanimación del servicio quirúrgico del hospital.</w:t>
      </w:r>
    </w:p>
    <w:p w:rsidR="00000000" w:rsidDel="00000000" w:rsidP="00000000" w:rsidRDefault="00000000" w:rsidRPr="00000000" w14:paraId="00000008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rPr>
          <w:rFonts w:ascii="Open Sans" w:cs="Open Sans" w:eastAsia="Open Sans" w:hAnsi="Open Sans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La persona seleccionada se incorporará a una institución con más de 30 años de historia y con una clara vocación de servicio y ética asistencial.</w:t>
      </w:r>
    </w:p>
    <w:p w:rsidR="00000000" w:rsidDel="00000000" w:rsidP="00000000" w:rsidRDefault="00000000" w:rsidRPr="00000000" w14:paraId="00000009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rPr>
          <w:rFonts w:ascii="Open Sans" w:cs="Open Sans" w:eastAsia="Open Sans" w:hAnsi="Open Sans"/>
          <w:b w:val="1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Se busca a una persona que para realizar las siguientes</w:t>
      </w: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252525"/>
          <w:sz w:val="24"/>
          <w:szCs w:val="24"/>
          <w:rtl w:val="0"/>
        </w:rPr>
        <w:t xml:space="preserve">Funciones: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lineRule="auto"/>
        <w:ind w:left="720" w:right="-550.8661417322827" w:hanging="360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Realizar seguimiento y control directo del paciente hospitalizado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Preparar el instrumental quirúrgico necesario para la intervención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Preparar al paciente para la realización de la cirugía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Atender y monitorear al paciente durante la operación y el post-operatorio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Realizar apoyo durante la operación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Extracción y preparación de muestras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56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Cumplir los principios éticos y legales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ind w:right="-550.8661417322827"/>
        <w:rPr>
          <w:rFonts w:ascii="Open Sans" w:cs="Open Sans" w:eastAsia="Open Sans" w:hAnsi="Open Sans"/>
          <w:b w:val="1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52525"/>
          <w:sz w:val="24"/>
          <w:szCs w:val="24"/>
          <w:rtl w:val="0"/>
        </w:rPr>
        <w:t xml:space="preserve">Requisitos mínimos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lineRule="auto"/>
        <w:ind w:left="720" w:right="-550.8661417322827" w:hanging="360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Diplomatura en enfermería o título homologado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Experiencia previa en quirófano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56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Se valora formación específica como instrumentista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ind w:right="-550.8661417322827"/>
        <w:rPr>
          <w:rFonts w:ascii="Open Sans" w:cs="Open Sans" w:eastAsia="Open Sans" w:hAnsi="Open Sans"/>
          <w:b w:val="1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52525"/>
          <w:sz w:val="24"/>
          <w:szCs w:val="24"/>
          <w:rtl w:val="0"/>
        </w:rPr>
        <w:t xml:space="preserve">Se ofrece: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lineRule="auto"/>
        <w:ind w:left="720" w:right="-550.8661417322827" w:hanging="360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Jornada intensiva entre semana + guardias alternas en fin de semana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Jornada completa (valoramos jornadas parciales)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Contrato estable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Plan de 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Desarrollo 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Salario inicial de 33-35000€ + plan de carrera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Revisión salarial periódica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560" w:before="0" w:lineRule="auto"/>
        <w:ind w:left="720" w:right="-550.8661417322827" w:hanging="360"/>
        <w:jc w:val="left"/>
        <w:rPr>
          <w:rFonts w:ascii="Open Sans" w:cs="Open Sans" w:eastAsia="Open Sans" w:hAnsi="Open Sans"/>
          <w:color w:val="25252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Plan de beneficios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Persona de contacto: Laia               email: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rrhh@wellbeingsolutions.es</w:t>
        </w:r>
      </w:hyperlink>
      <w:r w:rsidDel="00000000" w:rsidR="00000000" w:rsidRPr="00000000">
        <w:rPr>
          <w:rtl w:val="0"/>
        </w:rPr>
        <w:t xml:space="preserve">                    Teléfono: 652956696</w:t>
      </w:r>
    </w:p>
    <w:sectPr>
      <w:pgSz w:h="16838" w:w="11906" w:orient="portrait"/>
      <w:pgMar w:bottom="127.91338582677326" w:top="566.9291338582677" w:left="1133.8582677165355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4E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768E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rhh@wellbeingsolutions.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Bky10A32adn+xbYmwWFENzRbFA==">CgMxLjAyDmgudDl6cnJsdWtrcmt1OAByITFNX0JYakVIYndld0JJQldseGJCS2ZiR19tVldsdWd0Zw==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2020-02-18T11:54:00Z</dcterms:created>
  <dc:creator>NILS MAETZEL</dc:creator>
</cp:coreProperties>
</file>